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jc w:val="center"/>
        <w:rPr>
          <w:rFonts w:hint="eastAsia" w:ascii="方正小标宋简体" w:hAnsi="宋体" w:eastAsia="方正小标宋简体" w:cs="宋体"/>
          <w:color w:val="333333"/>
          <w:sz w:val="36"/>
          <w:szCs w:val="36"/>
        </w:rPr>
      </w:pPr>
      <w:r>
        <w:rPr>
          <w:rFonts w:hint="eastAsia" w:ascii="方正小标宋简体" w:hAnsi="宋体" w:eastAsia="方正小标宋简体" w:cs="宋体"/>
          <w:color w:val="333333"/>
          <w:sz w:val="36"/>
          <w:szCs w:val="36"/>
          <w:shd w:val="clear" w:color="auto" w:fill="FFFFFF"/>
        </w:rPr>
        <w:t>广富林街道202</w:t>
      </w:r>
      <w:r>
        <w:rPr>
          <w:rFonts w:hint="eastAsia" w:ascii="方正小标宋简体" w:hAnsi="宋体" w:eastAsia="方正小标宋简体" w:cs="宋体"/>
          <w:color w:val="333333"/>
          <w:sz w:val="36"/>
          <w:szCs w:val="36"/>
          <w:shd w:val="clear" w:color="auto" w:fill="FFFFFF"/>
          <w:lang w:val="en-US" w:eastAsia="zh-CN"/>
        </w:rPr>
        <w:t>3</w:t>
      </w:r>
      <w:r>
        <w:rPr>
          <w:rFonts w:hint="eastAsia" w:ascii="方正小标宋简体" w:hAnsi="宋体" w:eastAsia="方正小标宋简体" w:cs="宋体"/>
          <w:color w:val="333333"/>
          <w:sz w:val="36"/>
          <w:szCs w:val="36"/>
          <w:shd w:val="clear" w:color="auto" w:fill="FFFFFF"/>
        </w:rPr>
        <w:t>年政府信息公开工作年度报告</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p>
    <w:p>
      <w:pPr>
        <w:pStyle w:val="4"/>
        <w:widowControl/>
        <w:shd w:val="clear" w:color="auto" w:fill="FFFFFF"/>
        <w:spacing w:before="0" w:beforeAutospacing="0" w:after="0" w:afterAutospacing="0" w:line="560" w:lineRule="atLeast"/>
        <w:ind w:firstLine="640"/>
        <w:jc w:val="both"/>
        <w:rPr>
          <w:rFonts w:ascii="Times New Roman" w:hAnsi="Times New Roman"/>
          <w:color w:val="333333"/>
          <w:sz w:val="21"/>
          <w:szCs w:val="21"/>
        </w:rPr>
      </w:pPr>
      <w:r>
        <w:rPr>
          <w:rFonts w:hint="eastAsia" w:ascii="仿宋" w:hAnsi="仿宋" w:eastAsia="仿宋" w:cs="仿宋"/>
          <w:color w:val="000000"/>
          <w:sz w:val="32"/>
          <w:szCs w:val="32"/>
          <w:shd w:val="clear" w:color="auto" w:fill="FFFFFF"/>
        </w:rPr>
        <w:t>本年度报告根据《中华人民共和国政府信息公开条例》（以下简称《条例》）和《上海市政府信息公开规定》（以下简称《规定》）要求，由上海市松江区人民政府广富林街道党政办公室编制。全文包括政府信息公开工作总体情况、主动公开政府信息情况、收到和处理政府信息公开申请情况、政府信息公开行政复议和行政诉讼情况、政府信息公开工作存在的主要问题及改进情况等内容。</w:t>
      </w:r>
      <w:r>
        <w:rPr>
          <w:rFonts w:ascii="仿宋_GB2312" w:hAnsi="宋体" w:eastAsia="仿宋_GB2312" w:cs="仿宋_GB2312"/>
          <w:color w:val="333333"/>
          <w:sz w:val="32"/>
          <w:szCs w:val="32"/>
          <w:shd w:val="clear" w:color="auto" w:fill="FFFFFF"/>
        </w:rPr>
        <w:t>并附相关的说明和指标统计表、示意图等。本年度报告的电子版可以在广富林街道门户网（</w:t>
      </w:r>
      <w:r>
        <w:rPr>
          <w:rFonts w:hint="eastAsia" w:ascii="仿宋_GB2312" w:hAnsi="宋体" w:eastAsia="仿宋_GB2312" w:cs="仿宋_GB2312"/>
          <w:color w:val="333333"/>
          <w:sz w:val="32"/>
          <w:szCs w:val="32"/>
          <w:shd w:val="clear" w:color="auto" w:fill="FFFFFF"/>
        </w:rPr>
        <w:t>http://www.songjiang.gov.cn/gfljdsj/）上下载。</w:t>
      </w:r>
      <w:r>
        <w:rPr>
          <w:rFonts w:hint="eastAsia" w:ascii="仿宋" w:hAnsi="仿宋" w:eastAsia="仿宋" w:cs="仿宋"/>
          <w:color w:val="000000"/>
          <w:sz w:val="32"/>
          <w:szCs w:val="32"/>
          <w:shd w:val="clear" w:color="auto" w:fill="FFFFFF"/>
        </w:rPr>
        <w:t>本年度报告中所列数据的统计期限自 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年1月1日起至12月31日止。</w:t>
      </w:r>
      <w:r>
        <w:rPr>
          <w:rFonts w:ascii="仿宋_GB2312" w:hAnsi="宋体" w:eastAsia="仿宋_GB2312" w:cs="仿宋_GB2312"/>
          <w:color w:val="333333"/>
          <w:sz w:val="32"/>
          <w:szCs w:val="32"/>
          <w:shd w:val="clear" w:color="auto" w:fill="FFFFFF"/>
        </w:rPr>
        <w:t>如对本报告有任何疑问，请联系：松江区广富林街道党政办公室，电话：</w:t>
      </w:r>
      <w:r>
        <w:rPr>
          <w:rFonts w:hint="eastAsia" w:ascii="仿宋_GB2312" w:hAnsi="宋体" w:eastAsia="仿宋_GB2312" w:cs="仿宋_GB2312"/>
          <w:color w:val="333333"/>
          <w:sz w:val="32"/>
          <w:szCs w:val="32"/>
          <w:shd w:val="clear" w:color="auto" w:fill="FFFFFF"/>
        </w:rPr>
        <w:t>021-37683800，地址：松江区人民北路3456号，邮编:201620。</w:t>
      </w:r>
    </w:p>
    <w:p>
      <w:pPr>
        <w:pStyle w:val="4"/>
        <w:widowControl/>
        <w:shd w:val="clear" w:color="auto" w:fill="FFFFFF"/>
        <w:spacing w:before="0" w:beforeAutospacing="0" w:after="0" w:afterAutospacing="0" w:line="560" w:lineRule="atLeast"/>
        <w:ind w:firstLine="640"/>
        <w:jc w:val="both"/>
        <w:rPr>
          <w:rFonts w:ascii="Times New Roman" w:hAnsi="Times New Roman"/>
          <w:color w:val="333333"/>
        </w:rPr>
      </w:pPr>
      <w:r>
        <w:rPr>
          <w:rFonts w:ascii="黑体" w:hAnsi="宋体" w:eastAsia="黑体" w:cs="黑体"/>
          <w:color w:val="000000"/>
          <w:sz w:val="32"/>
          <w:szCs w:val="32"/>
          <w:shd w:val="clear" w:color="auto" w:fill="FFFFFF"/>
        </w:rPr>
        <w:t>一、总体情况</w:t>
      </w:r>
    </w:p>
    <w:p>
      <w:pPr>
        <w:pStyle w:val="4"/>
        <w:widowControl/>
        <w:shd w:val="clear" w:color="auto" w:fill="FFFFFF"/>
        <w:spacing w:before="0" w:beforeAutospacing="0" w:after="0" w:afterAutospacing="0" w:line="560" w:lineRule="atLeast"/>
        <w:ind w:firstLine="640"/>
        <w:jc w:val="both"/>
        <w:rPr>
          <w:rFonts w:ascii="Times New Roman" w:hAnsi="Times New Roman"/>
          <w:color w:val="333333"/>
          <w:sz w:val="21"/>
          <w:szCs w:val="21"/>
        </w:rPr>
      </w:pPr>
      <w:r>
        <w:rPr>
          <w:rFonts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rPr>
        <w:t>3年，</w:t>
      </w:r>
      <w:r>
        <w:rPr>
          <w:rFonts w:hint="eastAsia" w:ascii="仿宋_GB2312" w:hAnsi="宋体" w:eastAsia="仿宋_GB2312" w:cs="仿宋_GB2312"/>
          <w:i w:val="0"/>
          <w:iCs w:val="0"/>
          <w:caps w:val="0"/>
          <w:color w:val="333333"/>
          <w:spacing w:val="0"/>
          <w:sz w:val="32"/>
          <w:szCs w:val="32"/>
          <w:shd w:val="clear" w:fill="FFFFFF"/>
          <w:lang w:eastAsia="zh-CN"/>
        </w:rPr>
        <w:t>广富林</w:t>
      </w:r>
      <w:r>
        <w:rPr>
          <w:rFonts w:hint="eastAsia" w:ascii="仿宋_GB2312" w:hAnsi="宋体" w:eastAsia="仿宋_GB2312" w:cs="仿宋_GB2312"/>
          <w:i w:val="0"/>
          <w:iCs w:val="0"/>
          <w:caps w:val="0"/>
          <w:color w:val="333333"/>
          <w:spacing w:val="0"/>
          <w:sz w:val="32"/>
          <w:szCs w:val="32"/>
          <w:shd w:val="clear" w:fill="FFFFFF"/>
        </w:rPr>
        <w:t>街道办事处坚持以习近平新时代中国特色社会主义思想为指导，认真贯彻落实《中华人民共和国政府信息公开条例》、《上海市政府信息公开规定》及《2023年松江区政务公开工作要点》等相关文件要求，围绕党工委、办事处中心工作，积极推进新时代街道政府信息公开工作，切实回应群众关切，进一步提升街道政务公开标准化、规范化水平。</w:t>
      </w:r>
      <w:r>
        <w:rPr>
          <w:rFonts w:hint="eastAsia" w:ascii="仿宋" w:hAnsi="仿宋" w:eastAsia="仿宋" w:cs="仿宋"/>
          <w:color w:val="000000"/>
          <w:sz w:val="32"/>
          <w:szCs w:val="32"/>
          <w:shd w:val="clear" w:color="auto" w:fill="FFFFFF"/>
        </w:rPr>
        <w:t>现将我街道202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年度政府信息公开工作报告如下：</w:t>
      </w:r>
    </w:p>
    <w:p>
      <w:pPr>
        <w:pStyle w:val="4"/>
        <w:widowControl/>
        <w:shd w:val="clear" w:color="auto" w:fill="FFFFFF"/>
        <w:spacing w:before="0" w:beforeAutospacing="0" w:after="0" w:afterAutospacing="0" w:line="560" w:lineRule="atLeast"/>
        <w:ind w:firstLine="643"/>
        <w:jc w:val="both"/>
        <w:rPr>
          <w:rFonts w:ascii="Times New Roman" w:hAnsi="Times New Roman"/>
          <w:color w:val="333333"/>
          <w:sz w:val="21"/>
          <w:szCs w:val="21"/>
        </w:rPr>
      </w:pPr>
      <w:r>
        <w:rPr>
          <w:rFonts w:ascii="楷体" w:hAnsi="楷体" w:eastAsia="楷体" w:cs="楷体"/>
          <w:b/>
          <w:bCs/>
          <w:color w:val="333333"/>
          <w:sz w:val="32"/>
          <w:szCs w:val="32"/>
          <w:shd w:val="clear" w:color="auto" w:fill="FFFFFF"/>
        </w:rPr>
        <w:t>（一）主动公开政府信息情况</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r>
        <w:rPr>
          <w:rFonts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rPr>
        <w:t>3年，</w:t>
      </w:r>
      <w:r>
        <w:rPr>
          <w:rFonts w:hint="eastAsia" w:ascii="仿宋_GB2312" w:hAnsi="宋体" w:eastAsia="仿宋_GB2312" w:cs="仿宋_GB2312"/>
          <w:i w:val="0"/>
          <w:iCs w:val="0"/>
          <w:caps w:val="0"/>
          <w:color w:val="333333"/>
          <w:spacing w:val="0"/>
          <w:sz w:val="32"/>
          <w:szCs w:val="32"/>
          <w:shd w:val="clear" w:fill="FFFFFF"/>
          <w:lang w:eastAsia="zh-CN"/>
        </w:rPr>
        <w:t>广富林</w:t>
      </w:r>
      <w:r>
        <w:rPr>
          <w:rFonts w:hint="eastAsia" w:ascii="仿宋_GB2312" w:hAnsi="宋体" w:eastAsia="仿宋_GB2312" w:cs="仿宋_GB2312"/>
          <w:i w:val="0"/>
          <w:iCs w:val="0"/>
          <w:caps w:val="0"/>
          <w:color w:val="333333"/>
          <w:spacing w:val="0"/>
          <w:sz w:val="32"/>
          <w:szCs w:val="32"/>
          <w:shd w:val="clear" w:fill="FFFFFF"/>
        </w:rPr>
        <w:t>街道办事处共</w:t>
      </w:r>
      <w:r>
        <w:rPr>
          <w:rFonts w:hint="eastAsia" w:ascii="仿宋" w:hAnsi="仿宋" w:eastAsia="仿宋" w:cs="仿宋"/>
          <w:sz w:val="32"/>
          <w:szCs w:val="32"/>
          <w:shd w:val="clear" w:color="auto" w:fill="FFFFFF"/>
        </w:rPr>
        <w:t>制发行政公文（不含过程性信息）总数</w:t>
      </w:r>
      <w:r>
        <w:rPr>
          <w:rFonts w:hint="eastAsia" w:ascii="仿宋" w:hAnsi="仿宋" w:eastAsia="仿宋" w:cs="仿宋"/>
          <w:sz w:val="32"/>
          <w:szCs w:val="32"/>
          <w:shd w:val="clear" w:color="auto" w:fill="FFFFFF"/>
          <w:lang w:val="en-US" w:eastAsia="zh-CN"/>
        </w:rPr>
        <w:t>67</w:t>
      </w:r>
      <w:r>
        <w:rPr>
          <w:rFonts w:hint="eastAsia" w:ascii="仿宋" w:hAnsi="仿宋" w:eastAsia="仿宋" w:cs="仿宋"/>
          <w:sz w:val="32"/>
          <w:szCs w:val="32"/>
          <w:shd w:val="clear" w:color="auto" w:fill="FFFFFF"/>
        </w:rPr>
        <w:t>份；党工委发文总数</w:t>
      </w:r>
      <w:r>
        <w:rPr>
          <w:rFonts w:hint="eastAsia" w:ascii="仿宋" w:hAnsi="仿宋" w:eastAsia="仿宋" w:cs="仿宋"/>
          <w:sz w:val="32"/>
          <w:szCs w:val="32"/>
          <w:shd w:val="clear" w:color="auto" w:fill="FFFFFF"/>
          <w:lang w:val="en-US" w:eastAsia="zh-CN"/>
        </w:rPr>
        <w:t>51</w:t>
      </w:r>
      <w:r>
        <w:rPr>
          <w:rFonts w:hint="eastAsia" w:ascii="仿宋" w:hAnsi="仿宋" w:eastAsia="仿宋" w:cs="仿宋"/>
          <w:sz w:val="32"/>
          <w:szCs w:val="32"/>
          <w:shd w:val="clear" w:color="auto" w:fill="FFFFFF"/>
        </w:rPr>
        <w:t>份。</w:t>
      </w:r>
      <w:r>
        <w:rPr>
          <w:rFonts w:hint="eastAsia" w:ascii="仿宋" w:hAnsi="仿宋" w:eastAsia="仿宋" w:cs="仿宋"/>
          <w:color w:val="000000"/>
          <w:sz w:val="32"/>
          <w:szCs w:val="32"/>
          <w:shd w:val="clear" w:color="auto" w:fill="FFFFFF"/>
        </w:rPr>
        <w:t>截止12月底，</w:t>
      </w:r>
      <w:r>
        <w:rPr>
          <w:rFonts w:hint="eastAsia" w:ascii="仿宋_GB2312" w:hAnsi="宋体" w:eastAsia="仿宋_GB2312" w:cs="仿宋_GB2312"/>
          <w:i w:val="0"/>
          <w:iCs w:val="0"/>
          <w:caps w:val="0"/>
          <w:color w:val="333333"/>
          <w:spacing w:val="0"/>
          <w:sz w:val="32"/>
          <w:szCs w:val="32"/>
          <w:shd w:val="clear" w:fill="FFFFFF"/>
        </w:rPr>
        <w:t>主动公开政府信息1</w:t>
      </w:r>
      <w:r>
        <w:rPr>
          <w:rFonts w:hint="eastAsia" w:ascii="仿宋_GB2312" w:hAnsi="宋体" w:eastAsia="仿宋_GB2312" w:cs="仿宋_GB2312"/>
          <w:i w:val="0"/>
          <w:iCs w:val="0"/>
          <w:caps w:val="0"/>
          <w:color w:val="333333"/>
          <w:spacing w:val="0"/>
          <w:sz w:val="32"/>
          <w:szCs w:val="32"/>
          <w:shd w:val="clear" w:fill="FFFFFF"/>
          <w:lang w:val="en-US" w:eastAsia="zh-CN"/>
        </w:rPr>
        <w:t>8</w:t>
      </w:r>
      <w:r>
        <w:rPr>
          <w:rFonts w:hint="eastAsia" w:ascii="仿宋_GB2312" w:hAnsi="宋体" w:eastAsia="仿宋_GB2312" w:cs="仿宋_GB2312"/>
          <w:i w:val="0"/>
          <w:iCs w:val="0"/>
          <w:caps w:val="0"/>
          <w:color w:val="333333"/>
          <w:spacing w:val="0"/>
          <w:sz w:val="32"/>
          <w:szCs w:val="32"/>
          <w:shd w:val="clear" w:fill="FFFFFF"/>
        </w:rPr>
        <w:t>条（政府网站公开政府信息数1</w:t>
      </w:r>
      <w:r>
        <w:rPr>
          <w:rFonts w:hint="eastAsia" w:ascii="仿宋_GB2312" w:hAnsi="宋体" w:eastAsia="仿宋_GB2312" w:cs="仿宋_GB2312"/>
          <w:i w:val="0"/>
          <w:iCs w:val="0"/>
          <w:caps w:val="0"/>
          <w:color w:val="333333"/>
          <w:spacing w:val="0"/>
          <w:sz w:val="32"/>
          <w:szCs w:val="32"/>
          <w:shd w:val="clear" w:fill="FFFFFF"/>
          <w:lang w:val="en-US" w:eastAsia="zh-CN"/>
        </w:rPr>
        <w:t>8</w:t>
      </w:r>
      <w:r>
        <w:rPr>
          <w:rFonts w:hint="eastAsia" w:ascii="仿宋_GB2312" w:hAnsi="宋体" w:eastAsia="仿宋_GB2312" w:cs="仿宋_GB2312"/>
          <w:i w:val="0"/>
          <w:iCs w:val="0"/>
          <w:caps w:val="0"/>
          <w:color w:val="333333"/>
          <w:spacing w:val="0"/>
          <w:sz w:val="32"/>
          <w:szCs w:val="32"/>
          <w:shd w:val="clear" w:fill="FFFFFF"/>
        </w:rPr>
        <w:t>条），公开率为100%，全文电子化率达100%。主动公开文件按照时间节点每季度及时提交区档案馆、图书馆、区行政服务中心3个纸质公文查阅点进行备案。同时，在门户网站通知公告、工作动态栏目主动公开各类信息。</w:t>
      </w:r>
      <w:r>
        <w:rPr>
          <w:rFonts w:hint="eastAsia" w:ascii="仿宋" w:hAnsi="仿宋" w:eastAsia="仿宋" w:cs="仿宋"/>
          <w:color w:val="000000"/>
          <w:sz w:val="32"/>
          <w:szCs w:val="32"/>
          <w:shd w:val="clear" w:color="auto" w:fill="FFFFFF"/>
        </w:rPr>
        <w:t>主动公开相关会议、活动信息，及时更新信息内容，确保信息的时效性，便于群众及时了解最新的工作动态，接受群众监督。</w:t>
      </w:r>
    </w:p>
    <w:p>
      <w:pPr>
        <w:pStyle w:val="4"/>
        <w:widowControl/>
        <w:shd w:val="clear" w:color="auto" w:fill="FFFFFF"/>
        <w:spacing w:before="0" w:beforeAutospacing="0" w:after="0" w:afterAutospacing="0" w:line="560" w:lineRule="atLeast"/>
        <w:ind w:firstLine="643"/>
        <w:jc w:val="both"/>
        <w:rPr>
          <w:rFonts w:ascii="Times New Roman" w:hAnsi="Times New Roman"/>
          <w:color w:val="333333"/>
          <w:sz w:val="21"/>
          <w:szCs w:val="21"/>
        </w:rPr>
      </w:pPr>
      <w:r>
        <w:rPr>
          <w:rFonts w:hint="eastAsia" w:ascii="楷体" w:hAnsi="楷体" w:eastAsia="楷体" w:cs="楷体"/>
          <w:b/>
          <w:bCs/>
          <w:color w:val="333333"/>
          <w:sz w:val="32"/>
          <w:szCs w:val="32"/>
          <w:shd w:val="clear" w:color="auto" w:fill="FFFFFF"/>
        </w:rPr>
        <w:t>（二）依申请公开情况</w:t>
      </w:r>
    </w:p>
    <w:p>
      <w:pPr>
        <w:pStyle w:val="4"/>
        <w:widowControl/>
        <w:shd w:val="clear" w:color="auto" w:fill="FFFFFF"/>
        <w:spacing w:before="0" w:beforeAutospacing="0" w:after="0" w:afterAutospacing="0" w:line="560" w:lineRule="atLeast"/>
        <w:ind w:firstLine="640"/>
        <w:jc w:val="both"/>
        <w:rPr>
          <w:rFonts w:ascii="Times New Roman" w:hAnsi="Times New Roman"/>
          <w:color w:val="333333"/>
          <w:sz w:val="21"/>
          <w:szCs w:val="21"/>
        </w:rPr>
      </w:pPr>
      <w:r>
        <w:rPr>
          <w:rFonts w:hint="eastAsia" w:ascii="仿宋" w:hAnsi="仿宋" w:eastAsia="仿宋" w:cs="仿宋"/>
          <w:color w:val="000000"/>
          <w:sz w:val="32"/>
          <w:szCs w:val="32"/>
          <w:shd w:val="clear" w:color="auto" w:fill="FFFFFF"/>
        </w:rPr>
        <w:t>广富林街道完善依申请受理机制，优化了政府信息公开申请接收、登记、办理、审核、答复、归档等环节的工作流程。在依法答复的同时，注重与申请人的沟通联系，及时准确掌握申请人的需求，有效提升依申请公开办理的服务能力。按照申请内容、答复情况等进行分类管理，建立健全沟通协调机制，加强研究分析，积极促进依申请工作水平的提高。依据《中华人民共和国政府信息公开条例》，结合我街道实际，制定并在门户网站上公开了《广富林街道政府信息公开工作指南》、《政府信息公开申请表》，并根据变动情况及时更新。</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截止12月底，我街道共受理政府信息依申请公</w:t>
      </w:r>
      <w:r>
        <w:rPr>
          <w:rFonts w:hint="eastAsia" w:ascii="仿宋" w:hAnsi="仿宋" w:eastAsia="仿宋" w:cs="仿宋"/>
          <w:sz w:val="32"/>
          <w:szCs w:val="32"/>
          <w:shd w:val="clear" w:color="auto" w:fill="FFFFFF"/>
        </w:rPr>
        <w:t>开</w:t>
      </w:r>
      <w:r>
        <w:rPr>
          <w:rFonts w:hint="eastAsia" w:ascii="仿宋" w:hAnsi="仿宋" w:eastAsia="仿宋" w:cs="仿宋"/>
          <w:sz w:val="32"/>
          <w:szCs w:val="32"/>
          <w:shd w:val="clear" w:color="auto" w:fill="FFFFFF"/>
          <w:lang w:val="en-US" w:eastAsia="zh-CN"/>
        </w:rPr>
        <w:t>21</w:t>
      </w:r>
      <w:r>
        <w:rPr>
          <w:rFonts w:hint="eastAsia" w:ascii="仿宋" w:hAnsi="仿宋" w:eastAsia="仿宋" w:cs="仿宋"/>
          <w:color w:val="000000"/>
          <w:sz w:val="32"/>
          <w:szCs w:val="32"/>
          <w:shd w:val="clear" w:color="auto" w:fill="FFFFFF"/>
        </w:rPr>
        <w:t>件，全部来自于自然人。其中，“予以公开”</w:t>
      </w:r>
      <w:r>
        <w:rPr>
          <w:rFonts w:hint="eastAsia" w:ascii="仿宋" w:hAnsi="仿宋" w:eastAsia="仿宋" w:cs="仿宋"/>
          <w:color w:val="000000"/>
          <w:sz w:val="32"/>
          <w:szCs w:val="32"/>
          <w:shd w:val="clear" w:color="auto" w:fill="FFFFFF"/>
          <w:lang w:val="en-US" w:eastAsia="zh-CN"/>
        </w:rPr>
        <w:t>15</w:t>
      </w:r>
      <w:r>
        <w:rPr>
          <w:rFonts w:hint="eastAsia" w:ascii="仿宋" w:hAnsi="仿宋" w:eastAsia="仿宋" w:cs="仿宋"/>
          <w:color w:val="000000"/>
          <w:sz w:val="32"/>
          <w:szCs w:val="32"/>
          <w:shd w:val="clear" w:color="auto" w:fill="FFFFFF"/>
        </w:rPr>
        <w:t>件，“不予公开”</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件，“无法提供”</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件，“其他处理”</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件。（申请人主动撤销</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件）。</w:t>
      </w:r>
    </w:p>
    <w:p>
      <w:pPr>
        <w:pStyle w:val="4"/>
        <w:widowControl/>
        <w:shd w:val="clear" w:color="auto" w:fill="FFFFFF"/>
        <w:spacing w:before="0" w:beforeAutospacing="0" w:after="0" w:afterAutospacing="0" w:line="560" w:lineRule="atLeast"/>
        <w:ind w:firstLine="643"/>
        <w:jc w:val="both"/>
        <w:rPr>
          <w:rFonts w:ascii="Times New Roman" w:hAnsi="Times New Roman"/>
          <w:color w:val="333333"/>
          <w:sz w:val="21"/>
          <w:szCs w:val="21"/>
        </w:rPr>
      </w:pPr>
      <w:r>
        <w:rPr>
          <w:rFonts w:hint="eastAsia" w:ascii="楷体" w:hAnsi="楷体" w:eastAsia="楷体" w:cs="楷体"/>
          <w:b/>
          <w:bCs/>
          <w:color w:val="333333"/>
          <w:sz w:val="32"/>
          <w:szCs w:val="32"/>
          <w:shd w:val="clear" w:color="auto" w:fill="FFFFFF"/>
        </w:rPr>
        <w:t>（三）政府信息管理情况</w:t>
      </w:r>
    </w:p>
    <w:p>
      <w:pPr>
        <w:pStyle w:val="4"/>
        <w:widowControl/>
        <w:shd w:val="clear" w:color="auto" w:fill="FFFFFF"/>
        <w:spacing w:before="0" w:beforeAutospacing="0" w:after="0" w:afterAutospacing="0" w:line="560" w:lineRule="atLeast"/>
        <w:ind w:firstLine="640"/>
        <w:jc w:val="both"/>
        <w:rPr>
          <w:rFonts w:ascii="Times New Roman" w:hAnsi="Times New Roman"/>
          <w:color w:val="333333"/>
          <w:sz w:val="21"/>
          <w:szCs w:val="21"/>
        </w:rPr>
      </w:pPr>
      <w:r>
        <w:rPr>
          <w:rFonts w:ascii="仿宋_GB2312" w:hAnsi="宋体" w:eastAsia="仿宋_GB2312" w:cs="仿宋_GB2312"/>
          <w:i w:val="0"/>
          <w:iCs w:val="0"/>
          <w:caps w:val="0"/>
          <w:color w:val="333333"/>
          <w:spacing w:val="0"/>
          <w:sz w:val="25"/>
          <w:szCs w:val="25"/>
          <w:shd w:val="clear" w:fill="FFFFFF"/>
        </w:rPr>
        <w:t> </w:t>
      </w:r>
      <w:r>
        <w:rPr>
          <w:rFonts w:hint="eastAsia" w:ascii="仿宋" w:hAnsi="仿宋" w:eastAsia="仿宋" w:cs="仿宋"/>
          <w:color w:val="000000"/>
          <w:sz w:val="32"/>
          <w:szCs w:val="32"/>
          <w:shd w:val="clear" w:color="auto" w:fill="FFFFFF"/>
        </w:rPr>
        <w:t> 进一步优化政务信息公开领导小组和工作机构。严格执行公文公开属性源头审查和公开前发布审查工作机制。规范信息公开指南，及时调整本单位主动公开事项内容，确保公开信息依法、全面、准确。落实监督机制，在政府网站上向社会公开了负责政务公开事务的机构名称、办公地址、办公时间、联系电话、传真等，加强了政府信息的监督管理。</w:t>
      </w:r>
    </w:p>
    <w:p>
      <w:pPr>
        <w:pStyle w:val="4"/>
        <w:widowControl/>
        <w:shd w:val="clear" w:color="auto" w:fill="FFFFFF"/>
        <w:spacing w:before="0" w:beforeAutospacing="0" w:after="0" w:afterAutospacing="0" w:line="560" w:lineRule="atLeast"/>
        <w:ind w:firstLine="643"/>
        <w:jc w:val="both"/>
        <w:rPr>
          <w:rFonts w:ascii="Times New Roman" w:hAnsi="Times New Roman"/>
          <w:color w:val="333333"/>
          <w:sz w:val="21"/>
          <w:szCs w:val="21"/>
        </w:rPr>
      </w:pPr>
      <w:r>
        <w:rPr>
          <w:rFonts w:hint="eastAsia" w:ascii="楷体" w:hAnsi="楷体" w:eastAsia="楷体" w:cs="楷体"/>
          <w:b/>
          <w:bCs/>
          <w:color w:val="333333"/>
          <w:sz w:val="32"/>
          <w:szCs w:val="32"/>
          <w:shd w:val="clear" w:color="auto" w:fill="FFFFFF"/>
        </w:rPr>
        <w:t>（四）政府信息公开平台建设情况</w:t>
      </w:r>
    </w:p>
    <w:p>
      <w:pPr>
        <w:pStyle w:val="4"/>
        <w:widowControl/>
        <w:shd w:val="clear" w:color="auto" w:fill="FFFFFF"/>
        <w:spacing w:before="0" w:beforeAutospacing="0" w:after="0" w:afterAutospacing="0" w:line="560" w:lineRule="atLeast"/>
        <w:ind w:firstLine="640"/>
        <w:jc w:val="both"/>
        <w:rPr>
          <w:rFonts w:hint="eastAsia" w:ascii="Times New Roman" w:hAnsi="Times New Roman" w:eastAsia="仿宋"/>
          <w:color w:val="333333"/>
          <w:sz w:val="21"/>
          <w:szCs w:val="21"/>
          <w:lang w:eastAsia="zh-CN"/>
        </w:rPr>
      </w:pPr>
      <w:r>
        <w:rPr>
          <w:rFonts w:ascii="仿宋_GB2312" w:hAnsi="宋体" w:eastAsia="仿宋_GB2312" w:cs="仿宋_GB2312"/>
          <w:color w:val="333333"/>
          <w:sz w:val="32"/>
          <w:szCs w:val="32"/>
          <w:shd w:val="clear" w:color="auto" w:fill="FFFFFF"/>
        </w:rPr>
        <w:t>充分发挥</w:t>
      </w:r>
      <w:r>
        <w:rPr>
          <w:rFonts w:hint="eastAsia" w:ascii="仿宋_GB2312" w:hAnsi="宋体" w:eastAsia="仿宋_GB2312" w:cs="仿宋_GB2312"/>
          <w:color w:val="333333"/>
          <w:sz w:val="32"/>
          <w:szCs w:val="32"/>
          <w:shd w:val="clear" w:color="auto" w:fill="FFFFFF"/>
        </w:rPr>
        <w:t>“上海松江”门户网站、</w:t>
      </w:r>
      <w:r>
        <w:rPr>
          <w:rFonts w:hint="eastAsia" w:ascii="仿宋" w:hAnsi="仿宋" w:eastAsia="仿宋" w:cs="仿宋"/>
          <w:color w:val="000000"/>
          <w:sz w:val="32"/>
          <w:szCs w:val="32"/>
          <w:shd w:val="clear" w:color="auto" w:fill="FFFFFF"/>
        </w:rPr>
        <w:t>“广富邻”</w:t>
      </w:r>
      <w:r>
        <w:rPr>
          <w:rFonts w:hint="eastAsia" w:ascii="仿宋_GB2312" w:hAnsi="宋体" w:eastAsia="仿宋_GB2312" w:cs="仿宋_GB2312"/>
          <w:color w:val="333333"/>
          <w:sz w:val="32"/>
          <w:szCs w:val="32"/>
          <w:shd w:val="clear" w:color="auto" w:fill="FFFFFF"/>
        </w:rPr>
        <w:t>微信公众号等新媒体的作用，及时发布街道政策讯息，并回复群众留言，实现与公众有效互动</w:t>
      </w:r>
      <w:r>
        <w:rPr>
          <w:rFonts w:hint="eastAsia" w:ascii="仿宋_GB2312" w:hAnsi="宋体" w:eastAsia="仿宋_GB2312" w:cs="仿宋_GB2312"/>
          <w:color w:val="333333"/>
          <w:sz w:val="32"/>
          <w:szCs w:val="32"/>
          <w:shd w:val="clear" w:color="auto" w:fill="FFFFFF"/>
          <w:lang w:eastAsia="zh-CN"/>
        </w:rPr>
        <w:t>，</w:t>
      </w:r>
      <w:r>
        <w:rPr>
          <w:rFonts w:hint="eastAsia" w:ascii="仿宋" w:hAnsi="仿宋" w:eastAsia="仿宋" w:cs="仿宋"/>
          <w:color w:val="000000"/>
          <w:sz w:val="32"/>
          <w:szCs w:val="32"/>
          <w:shd w:val="clear" w:color="auto" w:fill="FFFFFF"/>
        </w:rPr>
        <w:t>接受公众监督。我街道始终坚持正确的舆论导向，通过及时的信息发布、丰富的活动、深度的人文挖掘、多样的表现形式，公众号阅读量、粉丝量稳步上升。202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年，“广富邻”微信公众号共发布推文2912篇，阅读量总数61万余次，总关注人数20538人</w:t>
      </w:r>
      <w:r>
        <w:rPr>
          <w:rFonts w:hint="eastAsia" w:ascii="仿宋" w:hAnsi="仿宋" w:eastAsia="仿宋" w:cs="仿宋"/>
          <w:color w:val="000000"/>
          <w:sz w:val="32"/>
          <w:szCs w:val="32"/>
          <w:shd w:val="clear" w:color="auto" w:fill="FFFFFF"/>
          <w:lang w:eastAsia="zh-CN"/>
        </w:rPr>
        <w:t>。</w:t>
      </w:r>
    </w:p>
    <w:p>
      <w:pPr>
        <w:pStyle w:val="4"/>
        <w:widowControl/>
        <w:shd w:val="clear" w:color="auto" w:fill="FFFFFF"/>
        <w:spacing w:before="0" w:beforeAutospacing="0" w:after="0" w:afterAutospacing="0" w:line="560" w:lineRule="atLeast"/>
        <w:ind w:firstLine="643"/>
        <w:jc w:val="both"/>
        <w:rPr>
          <w:rFonts w:ascii="Times New Roman" w:hAnsi="Times New Roman"/>
          <w:color w:val="333333"/>
        </w:rPr>
      </w:pPr>
      <w:r>
        <w:rPr>
          <w:rFonts w:hint="eastAsia" w:ascii="楷体" w:hAnsi="楷体" w:eastAsia="楷体" w:cs="楷体"/>
          <w:b/>
          <w:bCs/>
          <w:color w:val="000000"/>
          <w:sz w:val="32"/>
          <w:szCs w:val="32"/>
          <w:shd w:val="clear" w:color="auto" w:fill="FFFFFF"/>
        </w:rPr>
        <w:t>（五）监督保障情况</w:t>
      </w:r>
    </w:p>
    <w:p>
      <w:pPr>
        <w:pStyle w:val="4"/>
        <w:widowControl/>
        <w:shd w:val="clear" w:color="auto" w:fill="FFFFFF"/>
        <w:spacing w:before="0" w:beforeAutospacing="0" w:after="0" w:afterAutospacing="0" w:line="560" w:lineRule="atLeast"/>
        <w:ind w:firstLine="482"/>
        <w:jc w:val="both"/>
        <w:rPr>
          <w:rFonts w:hint="eastAsia" w:ascii="仿宋" w:hAnsi="仿宋" w:eastAsia="仿宋" w:cs="仿宋"/>
          <w:b/>
          <w:bCs/>
          <w:color w:val="393939"/>
          <w:sz w:val="32"/>
          <w:szCs w:val="32"/>
          <w:shd w:val="clear" w:color="auto" w:fill="FFFFFF"/>
        </w:rPr>
      </w:pPr>
      <w:r>
        <w:rPr>
          <w:rFonts w:hint="eastAsia" w:ascii="仿宋" w:hAnsi="仿宋" w:eastAsia="仿宋" w:cs="仿宋"/>
          <w:b/>
          <w:bCs/>
          <w:color w:val="393939"/>
          <w:sz w:val="32"/>
          <w:szCs w:val="32"/>
          <w:shd w:val="clear" w:color="auto" w:fill="FFFFFF"/>
        </w:rPr>
        <w:t>1、加强领导，落实责任 </w:t>
      </w:r>
    </w:p>
    <w:p>
      <w:pPr>
        <w:pStyle w:val="4"/>
        <w:widowControl/>
        <w:shd w:val="clear" w:color="auto" w:fill="FFFFFF"/>
        <w:spacing w:before="0" w:beforeAutospacing="0" w:after="0" w:afterAutospacing="0" w:line="560" w:lineRule="atLeast"/>
        <w:ind w:firstLine="640"/>
        <w:jc w:val="both"/>
        <w:rPr>
          <w:rFonts w:ascii="Times New Roman" w:hAnsi="Times New Roman"/>
          <w:color w:val="333333"/>
          <w:sz w:val="21"/>
          <w:szCs w:val="21"/>
        </w:rPr>
      </w:pPr>
      <w:r>
        <w:rPr>
          <w:rFonts w:hint="eastAsia" w:ascii="仿宋" w:hAnsi="仿宋" w:eastAsia="仿宋" w:cs="仿宋"/>
          <w:color w:val="000000"/>
          <w:sz w:val="32"/>
          <w:szCs w:val="32"/>
          <w:shd w:val="clear" w:color="auto" w:fill="FFFFFF"/>
        </w:rPr>
        <w:t>强化日常监督管理，将政务公开工作纳入街道部门年度考核。对照区政务公开考核中各项指标要求，逐一摸排整改，并定期开展政务公开相关业务培训。建立主要领导总责，分管领导主抓，党政办具体负责，各部门密切配合的工作机制。政府信息公开工作由街道党政办牵头，具体负责政府信息和政务公开日常工作，同时加强与社区党建办（宣传）、居委会等部门和单位的协同及配合，街道党政办负责全街道政府信息公开工作的推进、协调、监督。</w:t>
      </w:r>
    </w:p>
    <w:p>
      <w:pPr>
        <w:pStyle w:val="4"/>
        <w:widowControl/>
        <w:shd w:val="clear" w:color="auto" w:fill="FFFFFF"/>
        <w:spacing w:before="0" w:beforeAutospacing="0" w:after="0" w:afterAutospacing="0" w:line="560" w:lineRule="atLeast"/>
        <w:ind w:firstLine="482"/>
        <w:jc w:val="both"/>
        <w:rPr>
          <w:rFonts w:ascii="Times New Roman" w:hAnsi="Times New Roman"/>
          <w:color w:val="333333"/>
          <w:sz w:val="21"/>
          <w:szCs w:val="21"/>
        </w:rPr>
      </w:pPr>
      <w:r>
        <w:rPr>
          <w:rFonts w:hint="eastAsia" w:ascii="仿宋" w:hAnsi="仿宋" w:eastAsia="仿宋" w:cs="仿宋"/>
          <w:b/>
          <w:bCs/>
          <w:color w:val="393939"/>
          <w:sz w:val="32"/>
          <w:szCs w:val="32"/>
          <w:shd w:val="clear" w:color="auto" w:fill="FFFFFF"/>
        </w:rPr>
        <w:t>2、优化制度，规范监管 </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我街道对政府信息公开审批和审核工作持审慎态度，严格按照制度规定，对不宜公开的信息不公开，对该公开的一律公开。在信息发布、公文报送、依申请公开等方面，建立相关审查机制，主管领导签字后方可公开，进一步规范信息公开程序，逐步实现信息工作规范化、制度化。严格按照《中华人民共和国政府信息公开条例》的要求，认真执行《广富林街道政府信息公开工作制度》和《广富林街道信息公开保密审查制度》，对机关各科室公开信息的维护情况、受理情况进行督查。年底对业务科室的信息公开进行考核，将政府信息和政务公开工作情况作为部门和干部考核的一项重要内容。</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p>
    <w:p>
      <w:pPr>
        <w:pStyle w:val="4"/>
        <w:widowControl/>
        <w:shd w:val="clear" w:color="auto" w:fill="FFFFFF"/>
        <w:spacing w:before="0" w:beforeAutospacing="0" w:after="0" w:afterAutospacing="0"/>
        <w:ind w:firstLine="420"/>
        <w:jc w:val="both"/>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二、主动公开政府信息情况</w:t>
      </w:r>
    </w:p>
    <w:p>
      <w:pPr>
        <w:pStyle w:val="4"/>
        <w:widowControl/>
        <w:shd w:val="clear" w:color="auto" w:fill="FFFFFF"/>
        <w:spacing w:before="0" w:beforeAutospacing="0" w:after="0" w:afterAutospacing="0"/>
        <w:ind w:firstLine="420"/>
        <w:jc w:val="both"/>
        <w:rPr>
          <w:rFonts w:ascii="宋体" w:hAnsi="宋体" w:cs="宋体"/>
          <w:color w:val="333333"/>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本年</w:t>
            </w:r>
            <w:r>
              <w:rPr>
                <w:rFonts w:hint="eastAsia" w:ascii="宋体" w:hAnsi="宋体" w:cs="宋体"/>
                <w:kern w:val="0"/>
                <w:sz w:val="20"/>
                <w:szCs w:val="20"/>
              </w:rPr>
              <w:t>制发件数</w:t>
            </w:r>
          </w:p>
        </w:tc>
        <w:tc>
          <w:tcPr>
            <w:tcW w:w="24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rPr>
                <w:rFonts w:hint="default" w:eastAsia="宋体"/>
                <w:lang w:val="en-US" w:eastAsia="zh-CN"/>
              </w:rPr>
            </w:pPr>
            <w:r>
              <w:rPr>
                <w:rFonts w:hint="eastAsia"/>
                <w:lang w:val="en-US" w:eastAsia="zh-CN"/>
              </w:rPr>
              <w:t>296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pPr>
              <w:widowControl/>
            </w:pPr>
            <w:r>
              <w:rPr>
                <w:rFonts w:hint="eastAsia" w:ascii="宋体" w:hAnsi="宋体" w:cs="宋体"/>
                <w:color w:val="000000"/>
                <w:kern w:val="0"/>
                <w:sz w:val="20"/>
                <w:szCs w:val="20"/>
              </w:rPr>
              <w:t>第二十条第（八）项</w:t>
            </w:r>
            <w:bookmarkStart w:id="0" w:name="_GoBack"/>
            <w:bookmarkEnd w:id="0"/>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noWrap/>
            <w:tcMar>
              <w:left w:w="57" w:type="dxa"/>
              <w:right w:w="57" w:type="dxa"/>
            </w:tcMar>
            <w:vAlign w:val="center"/>
          </w:tcPr>
          <w:p>
            <w:pPr>
              <w:widowControl/>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tcMar>
              <w:left w:w="57" w:type="dxa"/>
              <w:right w:w="57" w:type="dxa"/>
            </w:tcMar>
            <w:vAlign w:val="center"/>
          </w:tcPr>
          <w:p>
            <w:pPr>
              <w:rPr>
                <w:rFonts w:ascii="宋体"/>
                <w:sz w:val="24"/>
              </w:rPr>
            </w:pPr>
            <w:r>
              <w:rPr>
                <w:rFonts w:hint="eastAsia" w:ascii="宋体"/>
                <w:sz w:val="24"/>
              </w:rPr>
              <w:t>0</w:t>
            </w:r>
          </w:p>
        </w:tc>
      </w:tr>
    </w:tbl>
    <w:p>
      <w:pPr>
        <w:widowControl/>
      </w:pPr>
    </w:p>
    <w:p>
      <w:pPr>
        <w:pStyle w:val="4"/>
        <w:widowControl/>
        <w:shd w:val="clear" w:color="auto" w:fill="FFFFFF"/>
        <w:spacing w:before="0" w:beforeAutospacing="0" w:after="0" w:afterAutospacing="0"/>
        <w:ind w:firstLine="420"/>
        <w:jc w:val="both"/>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三、收到和处理政府信息公开申请情况</w:t>
      </w:r>
    </w:p>
    <w:p>
      <w:pPr>
        <w:pStyle w:val="4"/>
        <w:widowControl/>
        <w:shd w:val="clear" w:color="auto" w:fill="FFFFFF"/>
        <w:spacing w:before="0" w:beforeAutospacing="0" w:after="0" w:afterAutospacing="0"/>
        <w:ind w:firstLine="420"/>
        <w:jc w:val="both"/>
        <w:rPr>
          <w:rFonts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widowControl/>
            </w:pPr>
            <w:r>
              <w:rPr>
                <w:rFonts w:hint="eastAsia" w:ascii="楷体" w:hAnsi="楷体" w:eastAsia="楷体" w:cs="楷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noWrap/>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商业</w:t>
            </w:r>
          </w:p>
          <w:p>
            <w:pPr>
              <w:widowControl/>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科研</w:t>
            </w:r>
          </w:p>
          <w:p>
            <w:pPr>
              <w:widowControl/>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其他</w:t>
            </w:r>
          </w:p>
        </w:tc>
        <w:tc>
          <w:tcPr>
            <w:tcW w:w="689" w:type="dxa"/>
            <w:vMerge w:val="continue"/>
            <w:tcBorders>
              <w:top w:val="single" w:color="auto" w:sz="8" w:space="0"/>
              <w:left w:val="nil"/>
              <w:bottom w:val="outset" w:color="auto" w:sz="8" w:space="0"/>
              <w:right w:val="single" w:color="auto" w:sz="8" w:space="0"/>
            </w:tcBorders>
            <w:noWrap/>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default" w:eastAsia="宋体"/>
                <w:lang w:val="en-US" w:eastAsia="zh-CN"/>
              </w:rPr>
            </w:pPr>
            <w:r>
              <w:rPr>
                <w:rFonts w:hint="eastAsia" w:cs="Calibri"/>
                <w:kern w:val="0"/>
                <w:sz w:val="20"/>
                <w:szCs w:val="20"/>
                <w:lang w:val="en-US" w:eastAsia="zh-CN"/>
              </w:rPr>
              <w:t>21</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default" w:eastAsia="宋体"/>
                <w:lang w:val="en-US" w:eastAsia="zh-CN"/>
              </w:rPr>
            </w:pPr>
            <w:r>
              <w:rPr>
                <w:rFonts w:hint="eastAsia"/>
                <w:lang w:val="en-US" w:eastAsia="zh-CN"/>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default" w:eastAsia="宋体"/>
                <w:lang w:val="en-US" w:eastAsia="zh-CN"/>
              </w:rPr>
            </w:pPr>
            <w:r>
              <w:rPr>
                <w:rFonts w:hint="eastAsia"/>
                <w:lang w:val="en-US" w:eastAsia="zh-CN"/>
              </w:rPr>
              <w:t>15</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cs="Calibri"/>
                <w:kern w:val="0"/>
                <w:sz w:val="20"/>
                <w:szCs w:val="20"/>
              </w:rPr>
              <w:t>0</w:t>
            </w:r>
          </w:p>
        </w:tc>
        <w:tc>
          <w:tcPr>
            <w:tcW w:w="689" w:type="dxa"/>
            <w:tcBorders>
              <w:top w:val="single" w:color="auto" w:sz="8" w:space="0"/>
              <w:left w:val="nil"/>
              <w:bottom w:val="single" w:color="auto" w:sz="8" w:space="0"/>
              <w:right w:val="single" w:color="auto" w:sz="8" w:space="0"/>
            </w:tcBorders>
            <w:noWrap/>
            <w:tcMar>
              <w:left w:w="57" w:type="dxa"/>
              <w:right w:w="57" w:type="dxa"/>
            </w:tcMar>
          </w:tcPr>
          <w:p>
            <w:pPr>
              <w:widowControl/>
              <w:rPr>
                <w:rFonts w:hint="default" w:eastAsia="宋体"/>
                <w:lang w:val="en-US" w:eastAsia="zh-CN"/>
              </w:rPr>
            </w:pPr>
            <w:r>
              <w:rPr>
                <w:rFonts w:hint="eastAsia"/>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single" w:color="auto" w:sz="8" w:space="0"/>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tcPr>
          <w:p>
            <w:pPr>
              <w:widowControl/>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8"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c>
          <w:tcPr>
            <w:tcW w:w="689" w:type="dxa"/>
            <w:tcBorders>
              <w:top w:val="nil"/>
              <w:left w:val="nil"/>
              <w:bottom w:val="outset"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cs="Calibri"/>
                <w:kern w:val="0"/>
                <w:sz w:val="20"/>
                <w:szCs w:val="20"/>
              </w:rPr>
            </w:pPr>
          </w:p>
          <w:p>
            <w:pPr>
              <w:widowControl/>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noWrap/>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eastAsia" w:eastAsia="宋体" w:cs="Calibri"/>
                <w:kern w:val="0"/>
                <w:sz w:val="20"/>
                <w:szCs w:val="20"/>
                <w:lang w:eastAsia="zh-CN"/>
              </w:rPr>
            </w:pPr>
            <w:r>
              <w:rPr>
                <w:rFonts w:hint="eastAsia" w:cs="Calibri"/>
                <w:kern w:val="0"/>
                <w:sz w:val="20"/>
                <w:szCs w:val="20"/>
                <w:lang w:val="en-US" w:eastAsia="zh-CN"/>
              </w:rPr>
              <w:t>3</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eastAsia" w:eastAsia="宋体" w:cs="Calibri"/>
                <w:kern w:val="0"/>
                <w:sz w:val="20"/>
                <w:szCs w:val="20"/>
                <w:lang w:val="en-US" w:eastAsia="zh-CN"/>
              </w:rPr>
            </w:pPr>
            <w:r>
              <w:rPr>
                <w:rFonts w:hint="eastAsia" w:cs="Calibri"/>
                <w:kern w:val="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hint="default" w:eastAsia="宋体" w:cs="Calibri"/>
                <w:kern w:val="0"/>
                <w:sz w:val="20"/>
                <w:szCs w:val="20"/>
                <w:lang w:val="en-US" w:eastAsia="zh-CN"/>
              </w:rPr>
            </w:pPr>
            <w:r>
              <w:rPr>
                <w:rFonts w:hint="eastAsia" w:cs="Calibri"/>
                <w:kern w:val="0"/>
                <w:sz w:val="20"/>
                <w:szCs w:val="20"/>
                <w:lang w:val="en-US" w:eastAsia="zh-CN"/>
              </w:rPr>
              <w:t>21</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hint="default" w:eastAsia="宋体" w:cs="Calibri"/>
                <w:kern w:val="0"/>
                <w:sz w:val="20"/>
                <w:szCs w:val="20"/>
                <w:lang w:val="en-US" w:eastAsia="zh-CN"/>
              </w:rPr>
            </w:pPr>
            <w:r>
              <w:rPr>
                <w:rFonts w:hint="eastAsia" w:cs="Calibri"/>
                <w:kern w:val="0"/>
                <w:sz w:val="20"/>
                <w:szCs w:val="20"/>
                <w:lang w:val="en-US" w:eastAsia="zh-CN"/>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tcMar>
              <w:left w:w="57" w:type="dxa"/>
              <w:right w:w="57" w:type="dxa"/>
            </w:tcMar>
            <w:vAlign w:val="center"/>
          </w:tcPr>
          <w:p>
            <w:pPr>
              <w:widowControl/>
            </w:pPr>
            <w:r>
              <w:rPr>
                <w:rFonts w:hint="eastAsia" w:ascii="宋体" w:hAnsi="宋体" w:cs="宋体"/>
                <w:kern w:val="0"/>
                <w:sz w:val="20"/>
                <w:szCs w:val="20"/>
              </w:rPr>
              <w:t>四、结转下年度继续办理</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8" w:type="dxa"/>
            <w:tcBorders>
              <w:top w:val="nil"/>
              <w:left w:val="nil"/>
              <w:bottom w:val="single" w:color="auto" w:sz="8" w:space="0"/>
              <w:right w:val="single" w:color="auto" w:sz="8" w:space="0"/>
            </w:tcBorders>
            <w:noWrap/>
            <w:tcMar>
              <w:left w:w="57" w:type="dxa"/>
              <w:right w:w="57" w:type="dxa"/>
            </w:tcMar>
            <w:vAlign w:val="center"/>
          </w:tcPr>
          <w:p>
            <w:pPr>
              <w:widowControl/>
              <w:rPr>
                <w:rFonts w:cs="Calibri"/>
                <w:kern w:val="0"/>
                <w:sz w:val="20"/>
                <w:szCs w:val="20"/>
              </w:rPr>
            </w:pPr>
            <w:r>
              <w:rPr>
                <w:rFonts w:hint="eastAsia" w:cs="Calibri"/>
                <w:kern w:val="0"/>
                <w:sz w:val="20"/>
                <w:szCs w:val="20"/>
              </w:rPr>
              <w:t>0</w:t>
            </w:r>
          </w:p>
        </w:tc>
        <w:tc>
          <w:tcPr>
            <w:tcW w:w="689" w:type="dxa"/>
            <w:tcBorders>
              <w:top w:val="nil"/>
              <w:left w:val="nil"/>
              <w:bottom w:val="single" w:color="auto" w:sz="8" w:space="0"/>
              <w:right w:val="single" w:color="auto" w:sz="8" w:space="0"/>
            </w:tcBorders>
            <w:noWrap/>
            <w:tcMar>
              <w:left w:w="57" w:type="dxa"/>
              <w:right w:w="57" w:type="dxa"/>
            </w:tcMar>
          </w:tcPr>
          <w:p>
            <w:pPr>
              <w:widowControl/>
              <w:rPr>
                <w:rFonts w:cs="Calibri"/>
                <w:kern w:val="0"/>
                <w:sz w:val="20"/>
                <w:szCs w:val="20"/>
              </w:rPr>
            </w:pPr>
            <w:r>
              <w:rPr>
                <w:rFonts w:hint="eastAsia" w:cs="Calibri"/>
                <w:kern w:val="0"/>
                <w:sz w:val="20"/>
                <w:szCs w:val="20"/>
              </w:rPr>
              <w:t>0</w:t>
            </w:r>
          </w:p>
        </w:tc>
      </w:tr>
    </w:tbl>
    <w:p>
      <w:pPr>
        <w:widowControl/>
        <w:shd w:val="clear" w:color="auto" w:fill="FFFFFF"/>
        <w:rPr>
          <w:rFonts w:ascii="宋体" w:hAnsi="宋体" w:cs="宋体"/>
          <w:color w:val="333333"/>
          <w:sz w:val="24"/>
        </w:rPr>
      </w:pPr>
    </w:p>
    <w:p>
      <w:pPr>
        <w:widowControl/>
        <w:shd w:val="clear" w:color="auto" w:fill="FFFFFF"/>
        <w:rPr>
          <w:rFonts w:ascii="宋体" w:hAnsi="宋体" w:cs="宋体"/>
          <w:color w:val="333333"/>
          <w:sz w:val="24"/>
        </w:rPr>
      </w:pPr>
    </w:p>
    <w:p>
      <w:pPr>
        <w:pStyle w:val="4"/>
        <w:widowControl/>
        <w:numPr>
          <w:ilvl w:val="0"/>
          <w:numId w:val="1"/>
        </w:numPr>
        <w:shd w:val="clear" w:color="auto" w:fill="FFFFFF"/>
        <w:spacing w:before="0" w:beforeAutospacing="0" w:after="0" w:afterAutospacing="0"/>
        <w:ind w:firstLine="420"/>
        <w:jc w:val="both"/>
        <w:rPr>
          <w:rFonts w:hint="eastAsia"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结果</w:t>
            </w:r>
          </w:p>
          <w:p>
            <w:pPr>
              <w:widowControl/>
            </w:pPr>
            <w:r>
              <w:rPr>
                <w:rFonts w:hint="eastAsia" w:ascii="宋体" w:hAns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其他</w:t>
            </w:r>
          </w:p>
          <w:p>
            <w:pPr>
              <w:widowControl/>
            </w:pPr>
            <w:r>
              <w:rPr>
                <w:rFonts w:hint="eastAsia" w:ascii="宋体" w:hAns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尚未</w:t>
            </w:r>
          </w:p>
          <w:p>
            <w:pPr>
              <w:widowControl/>
            </w:pPr>
            <w:r>
              <w:rPr>
                <w:rFonts w:hint="eastAsia" w:ascii="宋体" w:hAns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结果</w:t>
            </w:r>
          </w:p>
          <w:p>
            <w:pPr>
              <w:widowControl/>
            </w:pPr>
            <w:r>
              <w:rPr>
                <w:rFonts w:hint="eastAsia" w:ascii="宋体" w:hAnsi="宋体" w:cs="宋体"/>
                <w:kern w:val="0"/>
                <w:sz w:val="20"/>
                <w:szCs w:val="20"/>
              </w:rPr>
              <w:t>维持</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结果</w:t>
            </w:r>
          </w:p>
          <w:p>
            <w:pPr>
              <w:widowControl/>
            </w:pP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其他</w:t>
            </w:r>
          </w:p>
          <w:p>
            <w:pPr>
              <w:widowControl/>
            </w:pPr>
            <w:r>
              <w:rPr>
                <w:rFonts w:hint="eastAsia" w:ascii="宋体" w:hAns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尚未</w:t>
            </w:r>
          </w:p>
          <w:p>
            <w:pPr>
              <w:widowControl/>
            </w:pP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结果</w:t>
            </w:r>
          </w:p>
          <w:p>
            <w:pPr>
              <w:widowControl/>
            </w:pPr>
            <w:r>
              <w:rPr>
                <w:rFonts w:hint="eastAsia" w:ascii="宋体" w:hAns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结果</w:t>
            </w:r>
          </w:p>
          <w:p>
            <w:pPr>
              <w:widowControl/>
            </w:pP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其他</w:t>
            </w:r>
          </w:p>
          <w:p>
            <w:pPr>
              <w:widowControl/>
            </w:pPr>
            <w:r>
              <w:rPr>
                <w:rFonts w:hint="eastAsia" w:ascii="宋体" w:hAns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rPr>
                <w:rFonts w:ascii="宋体" w:hAnsi="宋体" w:cs="宋体"/>
                <w:kern w:val="0"/>
                <w:sz w:val="20"/>
                <w:szCs w:val="20"/>
              </w:rPr>
            </w:pPr>
            <w:r>
              <w:rPr>
                <w:rFonts w:hint="eastAsia" w:ascii="宋体" w:hAnsi="宋体" w:cs="宋体"/>
                <w:kern w:val="0"/>
                <w:sz w:val="20"/>
                <w:szCs w:val="20"/>
              </w:rPr>
              <w:t>尚未</w:t>
            </w:r>
          </w:p>
          <w:p>
            <w:pPr>
              <w:widowControl/>
            </w:pP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r>
              <w:rPr>
                <w:rFonts w:hint="eastAsia" w:ascii="宋体"/>
                <w:sz w:val="24"/>
              </w:rPr>
              <w:t>0</w:t>
            </w:r>
          </w:p>
        </w:tc>
      </w:tr>
    </w:tbl>
    <w:p>
      <w:pPr>
        <w:pStyle w:val="4"/>
        <w:widowControl/>
        <w:shd w:val="clear" w:color="auto" w:fill="FFFFFF"/>
        <w:spacing w:before="0" w:beforeAutospacing="0" w:after="0" w:afterAutospacing="0"/>
        <w:jc w:val="both"/>
        <w:rPr>
          <w:rFonts w:ascii="宋体" w:hAnsi="宋体" w:cs="宋体"/>
          <w:b/>
          <w:color w:val="333333"/>
          <w:shd w:val="clear" w:color="auto" w:fill="FFFFFF"/>
        </w:rPr>
      </w:pPr>
    </w:p>
    <w:p>
      <w:pPr>
        <w:pStyle w:val="4"/>
        <w:widowControl/>
        <w:shd w:val="clear" w:color="auto" w:fill="FFFFFF"/>
        <w:spacing w:before="0" w:beforeAutospacing="0" w:after="0" w:afterAutospacing="0"/>
        <w:ind w:firstLine="420"/>
        <w:jc w:val="both"/>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五、存在的主要问题及改进情况</w:t>
      </w:r>
    </w:p>
    <w:p>
      <w:pPr>
        <w:pStyle w:val="4"/>
        <w:widowControl/>
        <w:shd w:val="clear" w:color="auto" w:fill="FFFFFF"/>
        <w:spacing w:before="0" w:beforeAutospacing="0" w:after="0" w:afterAutospacing="0" w:line="560" w:lineRule="atLeast"/>
        <w:ind w:firstLine="643"/>
        <w:jc w:val="both"/>
        <w:rPr>
          <w:rFonts w:ascii="楷体" w:hAnsi="楷体" w:eastAsia="楷体" w:cs="楷体"/>
          <w:b/>
          <w:bCs/>
          <w:color w:val="333333"/>
          <w:sz w:val="32"/>
          <w:szCs w:val="32"/>
          <w:shd w:val="clear" w:color="auto" w:fill="FFFFFF"/>
        </w:rPr>
      </w:pPr>
      <w:r>
        <w:rPr>
          <w:rFonts w:ascii="楷体" w:hAnsi="楷体" w:eastAsia="楷体" w:cs="楷体"/>
          <w:b/>
          <w:bCs/>
          <w:color w:val="333333"/>
          <w:sz w:val="32"/>
          <w:szCs w:val="32"/>
          <w:shd w:val="clear" w:color="auto" w:fill="FFFFFF"/>
        </w:rPr>
        <w:t>一、工作中存在的问题</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依申请公开办理的回复规范性还有提升空间；政策解读的针对性、持续性、易用性还需进一步增强，解读内容和群众日常生活关切之间的联系还需更加紧密。</w:t>
      </w:r>
    </w:p>
    <w:p>
      <w:pPr>
        <w:pStyle w:val="4"/>
        <w:widowControl/>
        <w:shd w:val="clear" w:color="auto" w:fill="FFFFFF"/>
        <w:spacing w:before="0" w:beforeAutospacing="0" w:after="0" w:afterAutospacing="0" w:line="560" w:lineRule="atLeast"/>
        <w:ind w:firstLine="643"/>
        <w:jc w:val="both"/>
        <w:rPr>
          <w:rFonts w:hint="eastAsia" w:ascii="楷体" w:hAnsi="楷体" w:eastAsia="楷体" w:cs="楷体"/>
          <w:b/>
          <w:bCs/>
          <w:color w:val="333333"/>
          <w:sz w:val="32"/>
          <w:szCs w:val="32"/>
          <w:shd w:val="clear" w:color="auto" w:fill="FFFFFF"/>
        </w:rPr>
      </w:pPr>
      <w:r>
        <w:rPr>
          <w:rFonts w:hint="eastAsia" w:ascii="楷体" w:hAnsi="楷体" w:eastAsia="楷体" w:cs="楷体"/>
          <w:b/>
          <w:bCs/>
          <w:color w:val="333333"/>
          <w:sz w:val="32"/>
          <w:szCs w:val="32"/>
          <w:shd w:val="clear" w:color="auto" w:fill="FFFFFF"/>
        </w:rPr>
        <w:t>二、改进措施</w:t>
      </w:r>
    </w:p>
    <w:p>
      <w:pPr>
        <w:pStyle w:val="4"/>
        <w:widowControl/>
        <w:shd w:val="clear" w:color="auto" w:fill="FFFFFF"/>
        <w:spacing w:before="0" w:beforeAutospacing="0" w:after="0" w:afterAutospacing="0" w:line="560" w:lineRule="atLeast"/>
        <w:ind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根据《2023年松江区政务公开考核评估实施方案》要求，街道进一步加强对依申请公开和政策解读工作的业务培训；结合广大群众对日常生活的关切，重点选择与群众生活相关的政策文件进行解读，切实回应广大群众的关切。</w:t>
      </w:r>
    </w:p>
    <w:p>
      <w:pPr>
        <w:pStyle w:val="4"/>
        <w:widowControl/>
        <w:shd w:val="clear" w:color="auto" w:fill="FFFFFF"/>
        <w:spacing w:before="0" w:beforeAutospacing="0" w:after="0" w:afterAutospacing="0"/>
        <w:ind w:firstLine="420"/>
        <w:jc w:val="both"/>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六、其他需要报告的事项</w:t>
      </w:r>
    </w:p>
    <w:p>
      <w:pPr>
        <w:pStyle w:val="4"/>
        <w:widowControl/>
        <w:shd w:val="clear" w:color="auto" w:fill="FFFFFF"/>
        <w:spacing w:before="0" w:beforeAutospacing="0" w:after="0" w:afterAutospacing="0" w:line="560" w:lineRule="atLeast"/>
        <w:ind w:firstLine="643"/>
        <w:jc w:val="both"/>
        <w:rPr>
          <w:rFonts w:ascii="楷体" w:hAnsi="楷体" w:eastAsia="楷体" w:cs="楷体"/>
          <w:b/>
          <w:bCs/>
          <w:color w:val="333333"/>
          <w:sz w:val="32"/>
          <w:szCs w:val="32"/>
          <w:shd w:val="clear" w:color="auto" w:fill="FFFFFF"/>
        </w:rPr>
      </w:pPr>
      <w:r>
        <w:rPr>
          <w:rFonts w:hint="eastAsia" w:ascii="楷体" w:hAnsi="楷体" w:eastAsia="楷体" w:cs="楷体"/>
          <w:b/>
          <w:bCs/>
          <w:color w:val="333333"/>
          <w:sz w:val="32"/>
          <w:szCs w:val="32"/>
          <w:shd w:val="clear" w:color="auto" w:fill="FFFFFF"/>
        </w:rPr>
        <w:t>1、创新工作情况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在“松江区人力资源平台”、“松江就业”微信公众号、“广富邻”微信公众号等平台及时发布招聘信息，举办“就业援助”、“春风行动”、“高校毕业生”、“民营企业招聘月”等线下线上招聘会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根据企业需求，合作举办各类创业沙龙、政策宣讲等活动，推动惠企政策落地，助力企业解决实际困难，树立优秀创业典型，营造良好创业氛围，创业带动就业。</w:t>
      </w:r>
    </w:p>
    <w:p>
      <w:pPr>
        <w:pStyle w:val="4"/>
        <w:widowControl/>
        <w:shd w:val="clear" w:color="auto" w:fill="FFFFFF"/>
        <w:spacing w:before="0" w:beforeAutospacing="0" w:after="0" w:afterAutospacing="0" w:line="560" w:lineRule="atLeast"/>
        <w:ind w:firstLine="643"/>
        <w:jc w:val="both"/>
        <w:rPr>
          <w:rFonts w:ascii="楷体" w:hAnsi="楷体" w:eastAsia="楷体" w:cs="楷体"/>
          <w:b/>
          <w:bCs/>
          <w:color w:val="333333"/>
          <w:sz w:val="32"/>
          <w:szCs w:val="32"/>
          <w:shd w:val="clear" w:color="auto" w:fill="FFFFFF"/>
        </w:rPr>
      </w:pPr>
      <w:r>
        <w:rPr>
          <w:rFonts w:hint="eastAsia" w:ascii="楷体" w:hAnsi="楷体" w:eastAsia="楷体" w:cs="楷体"/>
          <w:b/>
          <w:bCs/>
          <w:color w:val="333333"/>
          <w:sz w:val="32"/>
          <w:szCs w:val="32"/>
          <w:shd w:val="clear" w:color="auto" w:fill="FFFFFF"/>
        </w:rPr>
        <w:t>2、收取信息处理费情况</w:t>
      </w:r>
    </w:p>
    <w:p>
      <w:pPr>
        <w:pStyle w:val="4"/>
        <w:widowControl/>
        <w:shd w:val="clear" w:color="auto" w:fill="FFFFFF"/>
        <w:spacing w:before="0" w:beforeAutospacing="0" w:after="0" w:afterAutospacing="0" w:line="560" w:lineRule="atLeast"/>
        <w:ind w:firstLine="640"/>
        <w:jc w:val="both"/>
        <w:rPr>
          <w:rFonts w:ascii="宋体" w:hAnsi="宋体" w:cs="宋体"/>
          <w:b/>
          <w:color w:val="333333"/>
          <w:shd w:val="clear" w:color="auto" w:fill="FFFFFF"/>
        </w:rPr>
      </w:pPr>
      <w:r>
        <w:rPr>
          <w:rFonts w:hint="eastAsia" w:ascii="仿宋" w:hAnsi="仿宋" w:eastAsia="仿宋" w:cs="仿宋"/>
          <w:color w:val="000000"/>
          <w:sz w:val="32"/>
          <w:szCs w:val="32"/>
          <w:shd w:val="clear" w:color="auto" w:fill="FFFFFF"/>
        </w:rPr>
        <w:t>广富林街道严格按照国务院办公厅《政府信息公开信息处理费管理办法》及本</w:t>
      </w:r>
      <w:r>
        <w:rPr>
          <w:rFonts w:ascii="仿宋" w:hAnsi="仿宋" w:eastAsia="仿宋" w:cs="仿宋"/>
          <w:color w:val="000000"/>
          <w:sz w:val="32"/>
          <w:szCs w:val="32"/>
          <w:shd w:val="clear" w:color="auto" w:fill="FFFFFF"/>
        </w:rPr>
        <w:t>市有关规定收取信息处理费，本年度未发生需要收取费用的情况。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8E623"/>
    <w:multiLevelType w:val="singleLevel"/>
    <w:tmpl w:val="5968E6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IxMzE1ZGIwMjQ1ZTkzMTAzODQzNWUxNjFlNzU3ZjUifQ=="/>
  </w:docVars>
  <w:rsids>
    <w:rsidRoot w:val="57EAF916"/>
    <w:rsid w:val="001A5055"/>
    <w:rsid w:val="00292BAB"/>
    <w:rsid w:val="00437326"/>
    <w:rsid w:val="00476ACB"/>
    <w:rsid w:val="00E65BFF"/>
    <w:rsid w:val="01311D17"/>
    <w:rsid w:val="029F6342"/>
    <w:rsid w:val="041867CE"/>
    <w:rsid w:val="066B7191"/>
    <w:rsid w:val="09A73449"/>
    <w:rsid w:val="09EB5E2F"/>
    <w:rsid w:val="0A4F3B55"/>
    <w:rsid w:val="0C7E6EEC"/>
    <w:rsid w:val="0DBE0D13"/>
    <w:rsid w:val="0F430DD9"/>
    <w:rsid w:val="18540BAD"/>
    <w:rsid w:val="18EA17CE"/>
    <w:rsid w:val="1E4E1D03"/>
    <w:rsid w:val="229121BE"/>
    <w:rsid w:val="237771EE"/>
    <w:rsid w:val="2561056D"/>
    <w:rsid w:val="25DB023E"/>
    <w:rsid w:val="278E4F1E"/>
    <w:rsid w:val="28953C4C"/>
    <w:rsid w:val="2A2953D2"/>
    <w:rsid w:val="2B807273"/>
    <w:rsid w:val="2B944ACD"/>
    <w:rsid w:val="2C0552DD"/>
    <w:rsid w:val="3345668F"/>
    <w:rsid w:val="33D11C15"/>
    <w:rsid w:val="345F57F5"/>
    <w:rsid w:val="34832F99"/>
    <w:rsid w:val="397B5EC3"/>
    <w:rsid w:val="3A6B53FF"/>
    <w:rsid w:val="3E2911E3"/>
    <w:rsid w:val="3E7C3972"/>
    <w:rsid w:val="41C30EDD"/>
    <w:rsid w:val="43C51732"/>
    <w:rsid w:val="464822E6"/>
    <w:rsid w:val="4C06511B"/>
    <w:rsid w:val="4D07114B"/>
    <w:rsid w:val="4FEC1735"/>
    <w:rsid w:val="57EAF916"/>
    <w:rsid w:val="5D0001D0"/>
    <w:rsid w:val="5E0F60B1"/>
    <w:rsid w:val="60237BF2"/>
    <w:rsid w:val="606114A1"/>
    <w:rsid w:val="68906041"/>
    <w:rsid w:val="6D34343E"/>
    <w:rsid w:val="6F661B72"/>
    <w:rsid w:val="71F238C8"/>
    <w:rsid w:val="786A065C"/>
    <w:rsid w:val="7F253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3438</Words>
  <Characters>547</Characters>
  <Lines>4</Lines>
  <Paragraphs>7</Paragraphs>
  <TotalTime>15</TotalTime>
  <ScaleCrop>false</ScaleCrop>
  <LinksUpToDate>false</LinksUpToDate>
  <CharactersWithSpaces>3978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2021-12-17T01:09:00Z</dcterms:created>
  <dc:creator>user</dc:creator>
  <cp:lastModifiedBy>吴君</cp:lastModifiedBy>
  <cp:lastPrinted>2021-12-21T14:01:00Z</cp:lastPrinted>
  <dcterms:modified xsi:type="dcterms:W3CDTF">2024-01-15T08:12:39Z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01C70C8E77B5412592DD5C8EF8E19714</vt:lpwstr>
  </property>
</Properties>
</file>